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hanging="2"/>
        <w:jc w:val="center"/>
        <w:rPr>
          <w:rFonts w:ascii="黑体" w:eastAsia="黑体"/>
          <w:color w:val="000000"/>
          <w:sz w:val="32"/>
          <w:szCs w:val="32"/>
        </w:rPr>
      </w:pPr>
      <w:r>
        <w:rPr>
          <w:rFonts w:ascii="黑体" w:eastAsia="黑体"/>
          <w:color w:val="000000"/>
          <w:sz w:val="32"/>
          <w:szCs w:val="32"/>
        </w:rPr>
        <w:t>冰冻切片机</w:t>
      </w:r>
      <w:r>
        <w:rPr>
          <w:rFonts w:hint="eastAsia" w:ascii="黑体" w:eastAsia="黑体"/>
          <w:color w:val="000000"/>
          <w:sz w:val="32"/>
          <w:szCs w:val="32"/>
        </w:rPr>
        <w:t>论证报告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000000"/>
          <w:szCs w:val="21"/>
        </w:rPr>
      </w:pPr>
      <w:r>
        <w:rPr>
          <w:rFonts w:hint="eastAsia" w:ascii="仿宋_GB2312" w:eastAsia="仿宋_GB2312"/>
          <w:color w:val="000000"/>
          <w:szCs w:val="21"/>
        </w:rPr>
        <w:t>(单价20万元以上设备)</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一、拟建项目：冰冻切片机</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二、设备简介</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（一）设备基本信息</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生产厂家：德国Leica</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规格型号：CM1950</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参考价格：3</w:t>
      </w:r>
      <w:r>
        <w:rPr>
          <w:rFonts w:hint="eastAsia" w:ascii="仿宋_GB2312" w:hAnsi="宋体" w:eastAsia="仿宋_GB2312" w:cs="宋体"/>
          <w:b w:val="0"/>
          <w:bCs w:val="0"/>
          <w:color w:val="auto"/>
          <w:kern w:val="0"/>
          <w:sz w:val="28"/>
          <w:szCs w:val="28"/>
          <w:lang w:val="en-US" w:eastAsia="zh-CN"/>
        </w:rPr>
        <w:t>5</w:t>
      </w:r>
      <w:r>
        <w:rPr>
          <w:rFonts w:hint="eastAsia" w:ascii="仿宋_GB2312" w:hAnsi="宋体" w:eastAsia="仿宋_GB2312" w:cs="宋体"/>
          <w:b w:val="0"/>
          <w:bCs w:val="0"/>
          <w:color w:val="auto"/>
          <w:kern w:val="0"/>
          <w:sz w:val="28"/>
          <w:szCs w:val="28"/>
        </w:rPr>
        <w:t>万元</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（二）设备的先进性和适用性</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1、设备的主要技术参数</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技术参数</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*国外生产，原装进口；</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防溅水设计冰冻切片机</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压缩机制冷箱体、样品头（双压缩机）</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冷冻箱制冷温度：0℃～-35℃</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冷冻箱自动除霜功能：每24小时一次</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带冷冻箱手动除霜功能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速冻架冷冻位点：15+2个</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Peltier位点：2个</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速冷架制冷温度最低达：-42℃</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切片厚度范围：1-100 um</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切片厚度调节：箱体外部，保护操作者安全</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电动粗进速度：2档；快：0.9mm/s，慢：0.3mm/s</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带样品回缩功能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样品定位：8°定位及360°旋转，自动中心定位和精确0位指示确保样本定位顺利进行</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*AgProtectTM：徕卡的AgProtectTM抗菌银表面涂层有效组织感染性物质在仪器外部的繁殖</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*经过有效性认证的紫外线表面消毒（CM1950UV）：可在任何时间和任何温度下进行</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*简明的图形化按键操作，一目了然，便于操作且避免失误的发生。</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2、设备的先进性</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本设备的先进性主要体现在以下几个方面：</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1</w:t>
      </w: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冰冻切片机是基础医学与医学生物学实验室必备的基础设备之一，在动物组织形态学研究中发挥着重要的应用，可以完成对各类动物组织的多层切片，如制备常规冰冻切片、免疫组化切片等，并对所研究样品进行多层切片及3D重建分析。冰冻切片机的应用涉及到多学科、多专业、多方向，应用性极强，使用频率也非常高。</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2</w:t>
      </w: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冰冻切片机能很好得很保持抗原活性（尤其是表面抗原）和酶，而且冰冻切片方法简便快速，省去固定、包埋、和切片后处理等一系列繁琐步骤，因此冰冻切片是开展免疫组化、免疫荧光检测等教学、研究的必备工具。</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3</w:t>
      </w:r>
      <w:r>
        <w:rPr>
          <w:rFonts w:hint="eastAsia" w:ascii="仿宋_GB2312" w:hAnsi="宋体" w:eastAsia="仿宋_GB2312" w:cs="宋体"/>
          <w:b w:val="0"/>
          <w:bCs w:val="0"/>
          <w:color w:val="auto"/>
          <w:kern w:val="0"/>
          <w:sz w:val="28"/>
          <w:szCs w:val="28"/>
          <w:lang w:val="en-US" w:eastAsia="zh-CN"/>
        </w:rPr>
        <w:t>)</w:t>
      </w:r>
      <w:r>
        <w:rPr>
          <w:rFonts w:hint="eastAsia" w:ascii="仿宋_GB2312" w:hAnsi="宋体" w:eastAsia="仿宋_GB2312" w:cs="宋体"/>
          <w:b w:val="0"/>
          <w:bCs w:val="0"/>
          <w:color w:val="auto"/>
          <w:kern w:val="0"/>
          <w:sz w:val="28"/>
          <w:szCs w:val="28"/>
        </w:rPr>
        <w:t>、符合节能减排的要求年实验耗材消耗量预记3000元左右</w:t>
      </w:r>
    </w:p>
    <w:p>
      <w:pPr>
        <w:widowControl/>
        <w:numPr>
          <w:ilvl w:val="0"/>
          <w:numId w:val="1"/>
        </w:numPr>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设备的应用范围</w:t>
      </w:r>
    </w:p>
    <w:p>
      <w:pPr>
        <w:widowControl/>
        <w:numPr>
          <w:ilvl w:val="0"/>
          <w:numId w:val="0"/>
        </w:numPr>
        <w:spacing w:line="580" w:lineRule="exact"/>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主要用于：吉首大学细胞与分子生物学研究室科研（教师与学生科研）；</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三、我校采购本设备的必要性</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1.从本科教学、开放实验、社会服务等方面介绍</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冰冻切片机的应用涉及到医学、动物学、生物学等多学科、多专业、多方向，应用性极强。由于石蜡包埋的切片能很好得很保持组织细胞形态，抗原、DNA、RNA保存好、可进行多种染色，并且可长期保存，所以是最常用的配片方式，使用频率也非常高。</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由于此设备使用频率高，仪器维护保养简便，操作相对简单，预计装机使用后，除应用与本学科教学及科研外，可在院内外开放。购置该仪器将极大的方便医学、动物学、生物学等相关学科的研究，提升相关科研和应用的工作效率，对提升学校的整体科研水平，以及科研产品向实际应用转化起到极大的推进作用。</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2.我校是否有稳定的学科团队、稳定的学科方向使用该设备？</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eastAsia="仿宋_GB2312"/>
          <w:color w:val="000000"/>
          <w:sz w:val="28"/>
          <w:szCs w:val="28"/>
        </w:rPr>
        <w:t>公共技术平台，医学各学科研究均要使用该设备</w:t>
      </w:r>
      <w:r>
        <w:rPr>
          <w:rFonts w:hint="eastAsia" w:ascii="仿宋_GB2312" w:hAnsi="宋体" w:eastAsia="仿宋_GB2312" w:cs="宋体"/>
          <w:b w:val="0"/>
          <w:bCs w:val="0"/>
          <w:color w:val="auto"/>
          <w:kern w:val="0"/>
          <w:sz w:val="28"/>
          <w:szCs w:val="28"/>
        </w:rPr>
        <w:t>。</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3.该设备能否通过与其他高校共享解决等，如果是进口设备说明不能采用同类国产设备的原因</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此设备基本都是各个实验室必用设备，基本是满负荷工作，基本上不能共享使用。</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此次购置的设备如下指标国产设备达不到要求：</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1、进口冰冻切片机的切片厚度范围可达1-100 um，而国产设备只能达到1-60um；</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2、进口冰冻切片机带样品回缩功能，避免样品刮擦到刀片而损坏，而国产设备不具备此功能；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3、进口冰冻切片机具备8°定位及360°旋转功能，能够利用自动中心定位和精确0位指示确保样本定位顺利进行，而国产设备不具备该功能；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4、进口冰冻切片机表面涂有抗菌银表面涂层，有效阻止感染性物质在仪器外部的繁殖，而国产设备不具备；</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四、设备使用效益及投资风险分析</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（一）设备使用效益分析</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1．设备年使用机时</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预计装机使用后，可达420小时/年。购置该仪器将极大的方便医学和生命科学研究，提升相关科研和应用的工作效率，对提升我们医学院的整体科研水平，以及科研产品向实际应用转化起到极大的推进作用。</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2．设备投入使用后可以产生效益</w:t>
      </w:r>
    </w:p>
    <w:p>
      <w:pPr>
        <w:widowControl/>
        <w:spacing w:line="580" w:lineRule="exact"/>
        <w:ind w:firstLine="560" w:firstLineChars="200"/>
        <w:rPr>
          <w:rFonts w:hint="eastAsia" w:ascii="仿宋_GB2312" w:hAnsi="宋体" w:eastAsia="仿宋_GB2312" w:cs="宋体"/>
          <w:b w:val="0"/>
          <w:bCs w:val="0"/>
          <w:color w:val="auto"/>
          <w:kern w:val="0"/>
          <w:sz w:val="28"/>
          <w:szCs w:val="28"/>
          <w:lang w:eastAsia="zh-CN"/>
        </w:rPr>
      </w:pPr>
      <w:r>
        <w:rPr>
          <w:rFonts w:hint="eastAsia" w:ascii="仿宋_GB2312" w:hAnsi="宋体" w:eastAsia="仿宋_GB2312" w:cs="宋体"/>
          <w:b w:val="0"/>
          <w:bCs w:val="0"/>
          <w:color w:val="auto"/>
          <w:kern w:val="0"/>
          <w:sz w:val="28"/>
          <w:szCs w:val="28"/>
        </w:rPr>
        <w:t>购置该仪器，对提升科研水平以及科研产品向实际应用转化能起到极大的推进作用，有利于提升整个学院的本科教学及科研水平</w:t>
      </w:r>
      <w:r>
        <w:rPr>
          <w:rFonts w:hint="eastAsia" w:ascii="仿宋_GB2312" w:hAnsi="宋体" w:eastAsia="仿宋_GB2312" w:cs="宋体"/>
          <w:b w:val="0"/>
          <w:bCs w:val="0"/>
          <w:color w:val="auto"/>
          <w:kern w:val="0"/>
          <w:sz w:val="28"/>
          <w:szCs w:val="28"/>
          <w:lang w:eastAsia="zh-CN"/>
        </w:rPr>
        <w:t>。</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（二）投资风险分析</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该设备的主要风险在于使用规范和安全管理。由于该设备属于高端进口设备，对操作者的操作水平、专业程度要求较高，要求操作者能够掌握操作技术且具备分析能力，对仪器进行规范操作。再者设备造价较高，要加强对设备的日常管理、维护和维修。</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五、保障措施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（一）人员配备</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color w:val="auto"/>
          <w:kern w:val="0"/>
          <w:sz w:val="28"/>
          <w:szCs w:val="28"/>
        </w:rPr>
        <w:t>订购仪器后，将安排1名高级实验师和1名讲师参加技术培训，今后由2人负责仪器的使用及日程维护工作。</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（二）配套条件</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该设备无需配套设备，无其它特殊要求。</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（三） 运行经费</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该仪器购置后只需要购买的耗材为刀片和实验试剂，每年预计3000元经费。耗材来源由教师自己课题经费支出。</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（四）管理措施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该设备将实行“专管、共享、开放”的管理措施。</w:t>
      </w: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六、设备校内共享方案</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在不断提升仪器设备水平、档次的同时，学校十分重视对仪器设备资源的开发利用，先后制定了《吉首大学大学学科建设项目仪器设备购置与管理办法》、《吉首大学仪器设备开放基金使用与管理办法》、《吉首大学贵重仪器设备有偿使用管理办法》、《吉首大学实验室对外技术服务管理办法》、《吉首大学贵重仪器设备使用效益评估与奖励办法》等文件，进一步促进对大型仪器设备的使用，提高利用率，建立大型仪器设备的“专管、开放、共享”体系。主要采取如下措施：</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1、建立大型仪器设备“专管共享”制度，构筑大型仪器设备“专管共享”平台</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将各学科、各实验室10万以上，具备开放服务功能的大型仪器设备信息进行有效整合，通过计算机网络向校内外公布其服务功能、服务项目、服务时间、收费标准等相关信息，为大型仪器设备的“专管共享”创造必要的条件。对新购仪器设备，按照学科发展需要和现有仪器设备的配置情况进行充分论证。特别要对大型仪器设备的功能、规格、布局结构进行全面论证，避免重复购置，防止造成资源浪费。</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2、设立“大型仪器设备开放基金”，推动各级各类实验室对校内外开放</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每年投入一定经费建立“大型仪器设备开放基金”，促进现有重点实验室进一步对校内外开放，提高重点实验室的开放程度和仪器设备利用率。选择一批有开放条件、有利于学科优势互补，有利于学科交叉融合，有利于培养学生动手能力、创新能力的专业、科研类实验室对广大师生开放，学校在实验材料费、仪器设备维护费、人工费方面给予重点支持。充分调动大型仪器设备管理者和使用者两个方面的积极性。</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3.完善激励机制，建立“大型仪器设备使用效益评估与奖励”制度。</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定期对10万以上大型仪器设备进行使用效益评估。重点对大型仪器设备开机时数、功能利用率、完成课题(论文)情况、人才培养情况、日常维护情况进行定量考核，并在全校范围内公开评估结果。对使用效益高的机组、实验室给予物质与精神奖励。对使用效益低下的限期整改，对整改无效的，给予通报批评、核减项目经费。</w:t>
      </w:r>
    </w:p>
    <w:p>
      <w:pPr>
        <w:widowControl/>
        <w:numPr>
          <w:ilvl w:val="0"/>
          <w:numId w:val="2"/>
        </w:numPr>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论证专家组成员</w:t>
      </w:r>
    </w:p>
    <w:p>
      <w:pPr>
        <w:widowControl/>
        <w:numPr>
          <w:ilvl w:val="0"/>
          <w:numId w:val="0"/>
        </w:numPr>
        <w:spacing w:line="580" w:lineRule="exact"/>
        <w:rPr>
          <w:rFonts w:hint="eastAsia" w:ascii="仿宋_GB2312" w:hAnsi="宋体" w:eastAsia="仿宋_GB2312" w:cs="宋体"/>
          <w:b/>
          <w:bCs/>
          <w:color w:val="auto"/>
          <w:kern w:val="0"/>
          <w:sz w:val="28"/>
          <w:szCs w:val="28"/>
        </w:rPr>
      </w:pPr>
    </w:p>
    <w:tbl>
      <w:tblPr>
        <w:tblStyle w:val="9"/>
        <w:tblW w:w="8627" w:type="dxa"/>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477"/>
        <w:gridCol w:w="2940"/>
        <w:gridCol w:w="1070"/>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序号</w:t>
            </w:r>
          </w:p>
        </w:tc>
        <w:tc>
          <w:tcPr>
            <w:tcW w:w="1477"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姓名</w:t>
            </w:r>
          </w:p>
        </w:tc>
        <w:tc>
          <w:tcPr>
            <w:tcW w:w="2940"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专业</w:t>
            </w:r>
          </w:p>
        </w:tc>
        <w:tc>
          <w:tcPr>
            <w:tcW w:w="1070"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职称</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1</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lang w:eastAsia="zh-CN"/>
              </w:rPr>
              <w:t>彭小宁</w:t>
            </w:r>
          </w:p>
        </w:tc>
        <w:tc>
          <w:tcPr>
            <w:tcW w:w="2940" w:type="dxa"/>
            <w:noWrap w:val="0"/>
            <w:vAlign w:val="top"/>
          </w:tcPr>
          <w:p>
            <w:pPr>
              <w:widowControl/>
              <w:spacing w:line="580" w:lineRule="exact"/>
              <w:jc w:val="lef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分子生物学</w:t>
            </w:r>
            <w:r>
              <w:rPr>
                <w:rFonts w:hint="eastAsia" w:ascii="仿宋_GB2312" w:hAnsi="宋体" w:eastAsia="仿宋_GB2312" w:cs="宋体"/>
                <w:color w:val="auto"/>
                <w:kern w:val="0"/>
                <w:sz w:val="24"/>
                <w:szCs w:val="24"/>
                <w:lang w:eastAsia="zh-CN"/>
              </w:rPr>
              <w:t>与分子生物学</w:t>
            </w:r>
          </w:p>
        </w:tc>
        <w:tc>
          <w:tcPr>
            <w:tcW w:w="1070" w:type="dxa"/>
            <w:noWrap w:val="0"/>
            <w:vAlign w:val="top"/>
          </w:tcPr>
          <w:p>
            <w:pPr>
              <w:widowControl/>
              <w:spacing w:line="580" w:lineRule="exact"/>
              <w:ind w:firstLine="560" w:firstLineChars="200"/>
              <w:rPr>
                <w:rFonts w:hint="eastAsia" w:ascii="仿宋_GB2312" w:eastAsia="仿宋_GB2312"/>
                <w:color w:val="000000"/>
                <w:sz w:val="28"/>
                <w:szCs w:val="28"/>
              </w:rPr>
            </w:pP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2</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李先辉</w:t>
            </w:r>
          </w:p>
        </w:tc>
        <w:tc>
          <w:tcPr>
            <w:tcW w:w="2940" w:type="dxa"/>
            <w:noWrap w:val="0"/>
            <w:vAlign w:val="top"/>
          </w:tcPr>
          <w:p>
            <w:pPr>
              <w:widowControl/>
              <w:spacing w:line="580" w:lineRule="exact"/>
              <w:jc w:val="lef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药理学</w:t>
            </w:r>
          </w:p>
        </w:tc>
        <w:tc>
          <w:tcPr>
            <w:tcW w:w="107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教授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3</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rPr>
            </w:pPr>
            <w:r>
              <w:rPr>
                <w:rFonts w:hint="eastAsia" w:ascii="仿宋_GB2312" w:hAnsi="宋体" w:eastAsia="仿宋_GB2312" w:cs="宋体"/>
                <w:color w:val="auto"/>
                <w:kern w:val="0"/>
                <w:sz w:val="24"/>
                <w:szCs w:val="24"/>
                <w:lang w:val="en-US" w:eastAsia="zh-CN"/>
              </w:rPr>
              <w:t>向明均</w:t>
            </w:r>
          </w:p>
        </w:tc>
        <w:tc>
          <w:tcPr>
            <w:tcW w:w="294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分子生物学</w:t>
            </w:r>
          </w:p>
        </w:tc>
        <w:tc>
          <w:tcPr>
            <w:tcW w:w="107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教授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4</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val="en-US" w:eastAsia="zh-CN"/>
              </w:rPr>
            </w:pPr>
            <w:r>
              <w:rPr>
                <w:rFonts w:hint="eastAsia" w:ascii="仿宋_GB2312" w:hAnsi="宋体" w:eastAsia="仿宋_GB2312" w:cs="宋体"/>
                <w:color w:val="auto"/>
                <w:kern w:val="0"/>
                <w:sz w:val="24"/>
                <w:szCs w:val="24"/>
                <w:lang w:eastAsia="zh-CN"/>
              </w:rPr>
              <w:t>郭靖</w:t>
            </w:r>
          </w:p>
        </w:tc>
        <w:tc>
          <w:tcPr>
            <w:tcW w:w="294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病原生物学</w:t>
            </w:r>
          </w:p>
        </w:tc>
        <w:tc>
          <w:tcPr>
            <w:tcW w:w="107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讲师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5</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lang w:eastAsia="zh-CN"/>
              </w:rPr>
              <w:t>贾薇</w:t>
            </w:r>
          </w:p>
        </w:tc>
        <w:tc>
          <w:tcPr>
            <w:tcW w:w="294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病理学与病理学</w:t>
            </w:r>
          </w:p>
        </w:tc>
        <w:tc>
          <w:tcPr>
            <w:tcW w:w="107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讲师</w:t>
            </w:r>
          </w:p>
        </w:tc>
        <w:tc>
          <w:tcPr>
            <w:tcW w:w="2042" w:type="dxa"/>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bl>
    <w:p>
      <w:pPr>
        <w:widowControl/>
        <w:numPr>
          <w:ilvl w:val="0"/>
          <w:numId w:val="0"/>
        </w:numPr>
        <w:spacing w:line="580" w:lineRule="exact"/>
        <w:rPr>
          <w:rFonts w:hint="eastAsia" w:ascii="仿宋_GB2312" w:hAnsi="宋体" w:eastAsia="仿宋_GB2312" w:cs="宋体"/>
          <w:b/>
          <w:bCs/>
          <w:color w:val="auto"/>
          <w:kern w:val="0"/>
          <w:sz w:val="28"/>
          <w:szCs w:val="28"/>
        </w:rPr>
      </w:pP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八、学院审核意见</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（注：学院主管领导签署意见、签字：论证报告情况核实情况，购置该设备的必要性，是否同意购置该设备等）</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 学院名称）（盖章）</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201</w:t>
      </w:r>
      <w:r>
        <w:rPr>
          <w:rFonts w:hint="eastAsia" w:ascii="仿宋_GB2312" w:hAnsi="宋体" w:eastAsia="仿宋_GB2312" w:cs="宋体"/>
          <w:b w:val="0"/>
          <w:bCs w:val="0"/>
          <w:color w:val="auto"/>
          <w:kern w:val="0"/>
          <w:sz w:val="28"/>
          <w:szCs w:val="28"/>
          <w:lang w:val="en-US" w:eastAsia="zh-CN"/>
        </w:rPr>
        <w:t xml:space="preserve"> </w:t>
      </w:r>
      <w:r>
        <w:rPr>
          <w:rFonts w:hint="eastAsia" w:ascii="仿宋_GB2312" w:hAnsi="宋体" w:eastAsia="仿宋_GB2312" w:cs="宋体"/>
          <w:b w:val="0"/>
          <w:bCs w:val="0"/>
          <w:color w:val="auto"/>
          <w:kern w:val="0"/>
          <w:sz w:val="28"/>
          <w:szCs w:val="28"/>
        </w:rPr>
        <w:t>年   月   日</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2"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bCs/>
          <w:color w:val="auto"/>
          <w:kern w:val="0"/>
          <w:sz w:val="28"/>
          <w:szCs w:val="28"/>
        </w:rPr>
        <w:t>九、学校主管部门审核意见</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w:t>
      </w:r>
      <w:r>
        <w:rPr>
          <w:rFonts w:hint="eastAsia" w:ascii="仿宋_GB2312" w:hAnsi="宋体" w:eastAsia="仿宋_GB2312" w:cs="宋体"/>
          <w:b w:val="0"/>
          <w:bCs w:val="0"/>
          <w:color w:val="auto"/>
          <w:kern w:val="0"/>
          <w:sz w:val="28"/>
          <w:szCs w:val="28"/>
          <w:lang w:val="en-US" w:eastAsia="zh-CN"/>
        </w:rPr>
        <w:t xml:space="preserve">       </w:t>
      </w:r>
      <w:bookmarkStart w:id="0" w:name="_GoBack"/>
      <w:bookmarkEnd w:id="0"/>
      <w:r>
        <w:rPr>
          <w:rFonts w:hint="eastAsia" w:ascii="仿宋_GB2312" w:hAnsi="宋体" w:eastAsia="仿宋_GB2312" w:cs="宋体"/>
          <w:b w:val="0"/>
          <w:bCs w:val="0"/>
          <w:color w:val="auto"/>
          <w:kern w:val="0"/>
          <w:sz w:val="28"/>
          <w:szCs w:val="28"/>
        </w:rPr>
        <w:t>（盖章）</w:t>
      </w:r>
    </w:p>
    <w:p>
      <w:pPr>
        <w:widowControl/>
        <w:spacing w:line="580" w:lineRule="exact"/>
        <w:ind w:firstLine="560" w:firstLineChars="200"/>
        <w:rPr>
          <w:rFonts w:hint="eastAsia" w:ascii="仿宋_GB2312" w:hAnsi="宋体" w:eastAsia="仿宋_GB2312" w:cs="宋体"/>
          <w:b w:val="0"/>
          <w:bCs w:val="0"/>
          <w:color w:val="auto"/>
          <w:kern w:val="0"/>
          <w:sz w:val="28"/>
          <w:szCs w:val="28"/>
        </w:rPr>
      </w:pPr>
      <w:r>
        <w:rPr>
          <w:rFonts w:hint="eastAsia" w:ascii="仿宋_GB2312" w:hAnsi="宋体" w:eastAsia="仿宋_GB2312" w:cs="宋体"/>
          <w:b w:val="0"/>
          <w:bCs w:val="0"/>
          <w:color w:val="auto"/>
          <w:kern w:val="0"/>
          <w:sz w:val="28"/>
          <w:szCs w:val="28"/>
        </w:rPr>
        <w:t xml:space="preserve">                                         201</w:t>
      </w:r>
      <w:r>
        <w:rPr>
          <w:rFonts w:hint="eastAsia" w:ascii="仿宋_GB2312" w:hAnsi="宋体" w:eastAsia="仿宋_GB2312" w:cs="宋体"/>
          <w:b w:val="0"/>
          <w:bCs w:val="0"/>
          <w:color w:val="auto"/>
          <w:kern w:val="0"/>
          <w:sz w:val="28"/>
          <w:szCs w:val="28"/>
          <w:lang w:val="en-US" w:eastAsia="zh-CN"/>
        </w:rPr>
        <w:t xml:space="preserve"> </w:t>
      </w:r>
      <w:r>
        <w:rPr>
          <w:rFonts w:hint="eastAsia" w:ascii="仿宋_GB2312" w:hAnsi="宋体" w:eastAsia="仿宋_GB2312" w:cs="宋体"/>
          <w:b w:val="0"/>
          <w:bCs w:val="0"/>
          <w:color w:val="auto"/>
          <w:kern w:val="0"/>
          <w:sz w:val="28"/>
          <w:szCs w:val="28"/>
        </w:rPr>
        <w:t>年   月   日</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2" w:firstLineChars="200"/>
        <w:rPr>
          <w:rFonts w:hint="eastAsia" w:ascii="仿宋_GB2312" w:hAnsi="宋体" w:eastAsia="仿宋_GB2312" w:cs="宋体"/>
          <w:b/>
          <w:bCs/>
          <w:color w:val="auto"/>
          <w:kern w:val="0"/>
          <w:sz w:val="28"/>
          <w:szCs w:val="28"/>
        </w:rPr>
      </w:pPr>
      <w:r>
        <w:rPr>
          <w:rFonts w:hint="eastAsia" w:ascii="仿宋_GB2312" w:hAnsi="宋体" w:eastAsia="仿宋_GB2312" w:cs="宋体"/>
          <w:b/>
          <w:bCs/>
          <w:color w:val="auto"/>
          <w:kern w:val="0"/>
          <w:sz w:val="28"/>
          <w:szCs w:val="28"/>
        </w:rPr>
        <w:t>十、主管校领导审核意见</w:t>
      </w: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hint="eastAsia" w:ascii="仿宋_GB2312" w:hAnsi="宋体" w:eastAsia="仿宋_GB2312" w:cs="宋体"/>
          <w:b w:val="0"/>
          <w:bCs w:val="0"/>
          <w:color w:val="auto"/>
          <w:kern w:val="0"/>
          <w:sz w:val="28"/>
          <w:szCs w:val="28"/>
        </w:rPr>
      </w:pPr>
    </w:p>
    <w:p>
      <w:pPr>
        <w:widowControl/>
        <w:spacing w:line="580" w:lineRule="exact"/>
        <w:ind w:firstLine="560" w:firstLineChars="200"/>
        <w:rPr>
          <w:rFonts w:ascii="仿宋_GB2312" w:eastAsia="仿宋_GB2312"/>
          <w:color w:val="000000"/>
          <w:sz w:val="28"/>
          <w:szCs w:val="28"/>
        </w:rPr>
      </w:pPr>
      <w:r>
        <w:rPr>
          <w:rFonts w:hint="eastAsia" w:ascii="仿宋_GB2312" w:hAnsi="宋体" w:eastAsia="仿宋_GB2312" w:cs="宋体"/>
          <w:b w:val="0"/>
          <w:bCs w:val="0"/>
          <w:color w:val="auto"/>
          <w:kern w:val="0"/>
          <w:sz w:val="28"/>
          <w:szCs w:val="28"/>
        </w:rPr>
        <w:t xml:space="preserve">                                         201</w:t>
      </w:r>
      <w:r>
        <w:rPr>
          <w:rFonts w:hint="eastAsia" w:ascii="仿宋_GB2312" w:hAnsi="宋体" w:eastAsia="仿宋_GB2312" w:cs="宋体"/>
          <w:b w:val="0"/>
          <w:bCs w:val="0"/>
          <w:color w:val="auto"/>
          <w:kern w:val="0"/>
          <w:sz w:val="28"/>
          <w:szCs w:val="28"/>
          <w:lang w:val="en-US" w:eastAsia="zh-CN"/>
        </w:rPr>
        <w:t xml:space="preserve"> </w:t>
      </w:r>
      <w:r>
        <w:rPr>
          <w:rFonts w:hint="eastAsia" w:ascii="仿宋_GB2312" w:hAnsi="宋体" w:eastAsia="仿宋_GB2312" w:cs="宋体"/>
          <w:b w:val="0"/>
          <w:bCs w:val="0"/>
          <w:color w:val="auto"/>
          <w:kern w:val="0"/>
          <w:sz w:val="28"/>
          <w:szCs w:val="28"/>
        </w:rPr>
        <w:t>年   月   日</w:t>
      </w:r>
    </w:p>
    <w:sectPr>
      <w:footerReference r:id="rId3" w:type="default"/>
      <w:footerReference r:id="rId4" w:type="even"/>
      <w:pgSz w:w="11906" w:h="16838"/>
      <w:pgMar w:top="1418" w:right="1247" w:bottom="1418" w:left="124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第</w:t>
    </w:r>
    <w:r>
      <w:fldChar w:fldCharType="begin"/>
    </w:r>
    <w:r>
      <w:rPr>
        <w:rStyle w:val="11"/>
      </w:rPr>
      <w:instrText xml:space="preserve"> PAGE </w:instrText>
    </w:r>
    <w:r>
      <w:fldChar w:fldCharType="separate"/>
    </w:r>
    <w:r>
      <w:rPr>
        <w:rStyle w:val="11"/>
      </w:rPr>
      <w:t>2</w:t>
    </w:r>
    <w:r>
      <w:fldChar w:fldCharType="end"/>
    </w:r>
    <w:r>
      <w:rPr>
        <w:rStyle w:val="11"/>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1"/>
      </w:rPr>
    </w:pPr>
    <w:r>
      <w:fldChar w:fldCharType="begin"/>
    </w:r>
    <w:r>
      <w:rPr>
        <w:rStyle w:val="11"/>
      </w:rPr>
      <w:instrText xml:space="preserve">PAGE  </w:instrTex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94A7F6"/>
    <w:multiLevelType w:val="singleLevel"/>
    <w:tmpl w:val="AA94A7F6"/>
    <w:lvl w:ilvl="0" w:tentative="0">
      <w:start w:val="3"/>
      <w:numFmt w:val="decimal"/>
      <w:suff w:val="nothing"/>
      <w:lvlText w:val="%1、"/>
      <w:lvlJc w:val="left"/>
    </w:lvl>
  </w:abstractNum>
  <w:abstractNum w:abstractNumId="1">
    <w:nsid w:val="DD1A2FD5"/>
    <w:multiLevelType w:val="singleLevel"/>
    <w:tmpl w:val="DD1A2FD5"/>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2"/>
  <w:drawingGridVerticalSpacing w:val="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73F8"/>
    <w:rsid w:val="000168DF"/>
    <w:rsid w:val="00024DBF"/>
    <w:rsid w:val="000472DB"/>
    <w:rsid w:val="00052034"/>
    <w:rsid w:val="000B0695"/>
    <w:rsid w:val="001C0473"/>
    <w:rsid w:val="002171E3"/>
    <w:rsid w:val="00261BB4"/>
    <w:rsid w:val="002E69E8"/>
    <w:rsid w:val="002F1841"/>
    <w:rsid w:val="00387CA3"/>
    <w:rsid w:val="003B7ECC"/>
    <w:rsid w:val="003D6FCA"/>
    <w:rsid w:val="00404DA8"/>
    <w:rsid w:val="0040675A"/>
    <w:rsid w:val="00437212"/>
    <w:rsid w:val="00470447"/>
    <w:rsid w:val="00495431"/>
    <w:rsid w:val="00562CC7"/>
    <w:rsid w:val="005A4F85"/>
    <w:rsid w:val="005B7FDF"/>
    <w:rsid w:val="005C2825"/>
    <w:rsid w:val="00654A88"/>
    <w:rsid w:val="0066375F"/>
    <w:rsid w:val="00693CC0"/>
    <w:rsid w:val="006C6804"/>
    <w:rsid w:val="006C72AF"/>
    <w:rsid w:val="006E2FDB"/>
    <w:rsid w:val="006E5D52"/>
    <w:rsid w:val="0075454E"/>
    <w:rsid w:val="00763A02"/>
    <w:rsid w:val="00804BA8"/>
    <w:rsid w:val="00821406"/>
    <w:rsid w:val="00826F75"/>
    <w:rsid w:val="00877E81"/>
    <w:rsid w:val="008A1B69"/>
    <w:rsid w:val="008C3D67"/>
    <w:rsid w:val="00934E49"/>
    <w:rsid w:val="009412DC"/>
    <w:rsid w:val="009530AE"/>
    <w:rsid w:val="0099510B"/>
    <w:rsid w:val="009A156A"/>
    <w:rsid w:val="009E5AD0"/>
    <w:rsid w:val="009F4842"/>
    <w:rsid w:val="00A04ACC"/>
    <w:rsid w:val="00A33FB5"/>
    <w:rsid w:val="00A5723A"/>
    <w:rsid w:val="00A65868"/>
    <w:rsid w:val="00A907EE"/>
    <w:rsid w:val="00A916F0"/>
    <w:rsid w:val="00AA38BA"/>
    <w:rsid w:val="00AE7FE5"/>
    <w:rsid w:val="00B33ECF"/>
    <w:rsid w:val="00B737EA"/>
    <w:rsid w:val="00B95E2E"/>
    <w:rsid w:val="00BA251F"/>
    <w:rsid w:val="00C45112"/>
    <w:rsid w:val="00C65AB3"/>
    <w:rsid w:val="00C9022C"/>
    <w:rsid w:val="00C920DD"/>
    <w:rsid w:val="00CB046E"/>
    <w:rsid w:val="00CB5AE4"/>
    <w:rsid w:val="00D06B61"/>
    <w:rsid w:val="00D13B41"/>
    <w:rsid w:val="00D273F8"/>
    <w:rsid w:val="00D47648"/>
    <w:rsid w:val="00D71830"/>
    <w:rsid w:val="00DB10D0"/>
    <w:rsid w:val="00DE7407"/>
    <w:rsid w:val="00E575FE"/>
    <w:rsid w:val="00ED6397"/>
    <w:rsid w:val="00EE4E7B"/>
    <w:rsid w:val="00F44419"/>
    <w:rsid w:val="00F83D8E"/>
    <w:rsid w:val="00F9208E"/>
    <w:rsid w:val="00FA28E3"/>
    <w:rsid w:val="00FD7F4B"/>
    <w:rsid w:val="00FF6A37"/>
    <w:rsid w:val="01BF285E"/>
    <w:rsid w:val="07BC65EE"/>
    <w:rsid w:val="09A372D0"/>
    <w:rsid w:val="10705E4F"/>
    <w:rsid w:val="12C55884"/>
    <w:rsid w:val="130D10F4"/>
    <w:rsid w:val="140A74B0"/>
    <w:rsid w:val="182A3F02"/>
    <w:rsid w:val="1B486919"/>
    <w:rsid w:val="22A142D2"/>
    <w:rsid w:val="2BAA2FB4"/>
    <w:rsid w:val="33D52463"/>
    <w:rsid w:val="3E4E0173"/>
    <w:rsid w:val="3E9F33EB"/>
    <w:rsid w:val="41677798"/>
    <w:rsid w:val="45D42D6A"/>
    <w:rsid w:val="48EB5540"/>
    <w:rsid w:val="4BA6791B"/>
    <w:rsid w:val="4D467379"/>
    <w:rsid w:val="56645648"/>
    <w:rsid w:val="6190307B"/>
    <w:rsid w:val="636A45FB"/>
    <w:rsid w:val="660079A1"/>
    <w:rsid w:val="66872230"/>
    <w:rsid w:val="6A4F7C77"/>
    <w:rsid w:val="75E42D1E"/>
    <w:rsid w:val="77FC0882"/>
    <w:rsid w:val="793B07CD"/>
    <w:rsid w:val="79656B5E"/>
    <w:rsid w:val="7A8E1E58"/>
    <w:rsid w:val="7B640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sz w:val="28"/>
      <w:szCs w:val="20"/>
    </w:rPr>
  </w:style>
  <w:style w:type="character" w:default="1" w:styleId="10">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3">
    <w:name w:val="caption"/>
    <w:basedOn w:val="1"/>
    <w:next w:val="1"/>
    <w:qFormat/>
    <w:uiPriority w:val="0"/>
    <w:pPr>
      <w:spacing w:before="152" w:after="160"/>
    </w:pPr>
    <w:rPr>
      <w:rFonts w:ascii="Arial" w:hAnsi="Arial" w:eastAsia="黑体" w:cs="Arial"/>
      <w:sz w:val="20"/>
      <w:szCs w:val="20"/>
    </w:rPr>
  </w:style>
  <w:style w:type="paragraph" w:styleId="4">
    <w:name w:val="Body Text"/>
    <w:basedOn w:val="1"/>
    <w:qFormat/>
    <w:uiPriority w:val="0"/>
    <w:pPr>
      <w:widowControl/>
      <w:jc w:val="left"/>
    </w:pPr>
  </w:style>
  <w:style w:type="paragraph" w:styleId="5">
    <w:name w:val="Body Text Indent"/>
    <w:basedOn w:val="1"/>
    <w:qFormat/>
    <w:uiPriority w:val="0"/>
    <w:pPr>
      <w:ind w:firstLine="420"/>
    </w:pPr>
    <w:rPr>
      <w:sz w:val="24"/>
      <w:szCs w:val="20"/>
    </w:rPr>
  </w:style>
  <w:style w:type="paragraph" w:styleId="6">
    <w:name w:val="Body Text Indent 2"/>
    <w:basedOn w:val="1"/>
    <w:qFormat/>
    <w:uiPriority w:val="0"/>
    <w:pPr>
      <w:ind w:firstLine="560" w:firstLineChars="200"/>
    </w:pPr>
    <w:rPr>
      <w:sz w:val="2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text2"/>
    <w:basedOn w:val="10"/>
    <w:qFormat/>
    <w:uiPriority w:val="0"/>
    <w:rPr>
      <w:color w:val="3C3C3C"/>
      <w:u w:val="none"/>
    </w:rPr>
  </w:style>
  <w:style w:type="character" w:customStyle="1" w:styleId="13">
    <w:name w:val="r031"/>
    <w:basedOn w:val="10"/>
    <w:qFormat/>
    <w:uiPriority w:val="0"/>
    <w:rPr>
      <w:rFonts w:hint="default"/>
      <w:b/>
      <w:bCs/>
      <w:color w:val="FF0003"/>
      <w:sz w:val="24"/>
      <w:szCs w:val="24"/>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lang w:val="en-US" w:eastAsia="zh-CN" w:bidi="ar-SA"/>
    </w:rPr>
  </w:style>
  <w:style w:type="paragraph" w:styleId="15">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none</Company>
  <Pages>5</Pages>
  <Words>458</Words>
  <Characters>2616</Characters>
  <Lines>21</Lines>
  <Paragraphs>6</Paragraphs>
  <TotalTime>0</TotalTime>
  <ScaleCrop>false</ScaleCrop>
  <LinksUpToDate>false</LinksUpToDate>
  <CharactersWithSpaces>3068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2019-03-14T06:58:00Z</dcterms:created>
  <dc:creator>hgs</dc:creator>
  <cp:lastModifiedBy>Administrator</cp:lastModifiedBy>
  <cp:lastPrinted>2008-06-23T09:00:00Z</cp:lastPrinted>
  <dcterms:modified xsi:type="dcterms:W3CDTF">2019-03-18T00:20:40Z</dcterms:modified>
  <dc:title>电子信息实验室项目可行性论证材料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